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5B" w:rsidRDefault="00E56D5B" w:rsidP="00E56D5B">
      <w:pPr>
        <w:pStyle w:val="a3"/>
        <w:spacing w:before="5"/>
        <w:jc w:val="center"/>
        <w:rPr>
          <w:rFonts w:hint="eastAsia"/>
          <w:b/>
          <w:sz w:val="32"/>
          <w:lang w:eastAsia="zh-CN"/>
        </w:rPr>
      </w:pPr>
      <w:r w:rsidRPr="00E56D5B">
        <w:rPr>
          <w:rFonts w:hint="eastAsia"/>
          <w:b/>
          <w:sz w:val="32"/>
          <w:lang w:eastAsia="zh-CN"/>
        </w:rPr>
        <w:t>毕节医学高等专科学校</w:t>
      </w:r>
    </w:p>
    <w:p w:rsidR="00CE62E6" w:rsidRPr="00E56D5B" w:rsidRDefault="00E56D5B" w:rsidP="00E56D5B">
      <w:pPr>
        <w:pStyle w:val="a3"/>
        <w:spacing w:before="5"/>
        <w:jc w:val="center"/>
        <w:rPr>
          <w:b/>
          <w:sz w:val="32"/>
          <w:lang w:eastAsia="zh-CN"/>
        </w:rPr>
      </w:pPr>
      <w:r w:rsidRPr="00E56D5B">
        <w:rPr>
          <w:rFonts w:hint="eastAsia"/>
          <w:b/>
          <w:sz w:val="32"/>
          <w:lang w:eastAsia="zh-CN"/>
        </w:rPr>
        <w:t>剧毒化学品、易制毒化学品、麻醉药品和精神药品安全责任书1</w:t>
      </w:r>
    </w:p>
    <w:p w:rsidR="00CE62E6" w:rsidRDefault="00CE62E6">
      <w:pPr>
        <w:pStyle w:val="a3"/>
        <w:spacing w:before="2"/>
        <w:rPr>
          <w:sz w:val="16"/>
          <w:lang w:eastAsia="zh-CN"/>
        </w:rPr>
      </w:pPr>
    </w:p>
    <w:p w:rsidR="00CE62E6" w:rsidRDefault="00765526">
      <w:pPr>
        <w:pStyle w:val="a3"/>
        <w:spacing w:before="26" w:line="244" w:lineRule="auto"/>
        <w:ind w:left="100" w:right="143" w:firstLine="446"/>
        <w:jc w:val="both"/>
        <w:rPr>
          <w:lang w:eastAsia="zh-CN"/>
        </w:rPr>
      </w:pPr>
      <w:r>
        <w:rPr>
          <w:spacing w:val="-22"/>
          <w:lang w:eastAsia="zh-CN"/>
        </w:rPr>
        <w:t>为了加强学校剧毒化学品、易制毒化学品、麻醉药品和精神药品管理工作，预防剧毒化</w:t>
      </w:r>
      <w:r>
        <w:rPr>
          <w:spacing w:val="-34"/>
          <w:lang w:eastAsia="zh-CN"/>
        </w:rPr>
        <w:t>学品、易制毒化学品、麻醉药品和精神药品因管理不善造成的违法犯罪活动，根据国务院《易</w:t>
      </w:r>
      <w:r>
        <w:rPr>
          <w:spacing w:val="-29"/>
          <w:lang w:eastAsia="zh-CN"/>
        </w:rPr>
        <w:t>制毒化学品管理条例》</w:t>
      </w:r>
      <w:r>
        <w:rPr>
          <w:spacing w:val="-20"/>
          <w:lang w:eastAsia="zh-CN"/>
        </w:rPr>
        <w:t>（</w:t>
      </w:r>
      <w:proofErr w:type="gramStart"/>
      <w:r>
        <w:rPr>
          <w:spacing w:val="-25"/>
          <w:lang w:eastAsia="zh-CN"/>
        </w:rPr>
        <w:t>国务院令第</w:t>
      </w:r>
      <w:proofErr w:type="gramEnd"/>
      <w:r>
        <w:rPr>
          <w:spacing w:val="-25"/>
          <w:lang w:eastAsia="zh-CN"/>
        </w:rPr>
        <w:t xml:space="preserve"> </w:t>
      </w:r>
      <w:r>
        <w:rPr>
          <w:spacing w:val="-6"/>
          <w:lang w:eastAsia="zh-CN"/>
        </w:rPr>
        <w:t>445</w:t>
      </w:r>
      <w:r>
        <w:rPr>
          <w:spacing w:val="-44"/>
          <w:lang w:eastAsia="zh-CN"/>
        </w:rPr>
        <w:t xml:space="preserve"> 号</w:t>
      </w:r>
      <w:r>
        <w:rPr>
          <w:spacing w:val="-128"/>
          <w:lang w:eastAsia="zh-CN"/>
        </w:rPr>
        <w:t>）</w:t>
      </w:r>
      <w:r>
        <w:rPr>
          <w:spacing w:val="-37"/>
          <w:lang w:eastAsia="zh-CN"/>
        </w:rPr>
        <w:t>、《危险化学品安全管理条例》</w:t>
      </w:r>
      <w:r>
        <w:rPr>
          <w:spacing w:val="-17"/>
          <w:lang w:eastAsia="zh-CN"/>
        </w:rPr>
        <w:t>（</w:t>
      </w:r>
      <w:proofErr w:type="gramStart"/>
      <w:r>
        <w:rPr>
          <w:spacing w:val="-25"/>
          <w:lang w:eastAsia="zh-CN"/>
        </w:rPr>
        <w:t>国务院令第</w:t>
      </w:r>
      <w:proofErr w:type="gramEnd"/>
      <w:r>
        <w:rPr>
          <w:spacing w:val="-25"/>
          <w:lang w:eastAsia="zh-CN"/>
        </w:rPr>
        <w:t xml:space="preserve"> </w:t>
      </w:r>
      <w:r>
        <w:rPr>
          <w:spacing w:val="-6"/>
          <w:lang w:eastAsia="zh-CN"/>
        </w:rPr>
        <w:t xml:space="preserve">344 </w:t>
      </w:r>
      <w:r>
        <w:rPr>
          <w:spacing w:val="-17"/>
          <w:lang w:eastAsia="zh-CN"/>
        </w:rPr>
        <w:t>号</w:t>
      </w:r>
      <w:r>
        <w:rPr>
          <w:spacing w:val="-128"/>
          <w:lang w:eastAsia="zh-CN"/>
        </w:rPr>
        <w:t>）</w:t>
      </w:r>
      <w:r>
        <w:rPr>
          <w:spacing w:val="-37"/>
          <w:lang w:eastAsia="zh-CN"/>
        </w:rPr>
        <w:t>、《中华人民共和国药品管理法》</w:t>
      </w:r>
      <w:r>
        <w:rPr>
          <w:spacing w:val="-17"/>
          <w:lang w:eastAsia="zh-CN"/>
        </w:rPr>
        <w:t>（</w:t>
      </w:r>
      <w:r>
        <w:rPr>
          <w:spacing w:val="-5"/>
          <w:lang w:eastAsia="zh-CN"/>
        </w:rPr>
        <w:t>主席令第</w:t>
      </w:r>
      <w:r>
        <w:rPr>
          <w:spacing w:val="-4"/>
          <w:lang w:eastAsia="zh-CN"/>
        </w:rPr>
        <w:t>45</w:t>
      </w:r>
      <w:r>
        <w:rPr>
          <w:spacing w:val="-46"/>
          <w:lang w:eastAsia="zh-CN"/>
        </w:rPr>
        <w:t xml:space="preserve"> 号</w:t>
      </w:r>
      <w:r>
        <w:rPr>
          <w:spacing w:val="-27"/>
          <w:lang w:eastAsia="zh-CN"/>
        </w:rPr>
        <w:t>）</w:t>
      </w:r>
      <w:r>
        <w:rPr>
          <w:spacing w:val="-19"/>
          <w:lang w:eastAsia="zh-CN"/>
        </w:rPr>
        <w:t>以及公安部《剧毒化学品购买和公路</w:t>
      </w:r>
      <w:r>
        <w:rPr>
          <w:spacing w:val="-17"/>
          <w:lang w:eastAsia="zh-CN"/>
        </w:rPr>
        <w:t>运输许可证件管理办法</w:t>
      </w:r>
      <w:r>
        <w:rPr>
          <w:spacing w:val="-197"/>
          <w:lang w:eastAsia="zh-CN"/>
        </w:rPr>
        <w:t>》</w:t>
      </w:r>
      <w:r>
        <w:rPr>
          <w:spacing w:val="-17"/>
          <w:lang w:eastAsia="zh-CN"/>
        </w:rPr>
        <w:t>（</w:t>
      </w:r>
      <w:r>
        <w:rPr>
          <w:spacing w:val="-27"/>
          <w:lang w:eastAsia="zh-CN"/>
        </w:rPr>
        <w:t xml:space="preserve">公安部令 </w:t>
      </w:r>
      <w:r>
        <w:rPr>
          <w:spacing w:val="-5"/>
          <w:lang w:eastAsia="zh-CN"/>
        </w:rPr>
        <w:t>77</w:t>
      </w:r>
      <w:r>
        <w:rPr>
          <w:spacing w:val="-46"/>
          <w:lang w:eastAsia="zh-CN"/>
        </w:rPr>
        <w:t xml:space="preserve"> 号</w:t>
      </w:r>
      <w:r>
        <w:rPr>
          <w:spacing w:val="-128"/>
          <w:lang w:eastAsia="zh-CN"/>
        </w:rPr>
        <w:t>）</w:t>
      </w:r>
      <w:r>
        <w:rPr>
          <w:spacing w:val="-30"/>
          <w:lang w:eastAsia="zh-CN"/>
        </w:rPr>
        <w:t>、公安部《易制毒化学品购销和运输管理办法</w:t>
      </w:r>
      <w:r>
        <w:rPr>
          <w:spacing w:val="-195"/>
          <w:lang w:eastAsia="zh-CN"/>
        </w:rPr>
        <w:t>》</w:t>
      </w:r>
      <w:r>
        <w:rPr>
          <w:spacing w:val="-16"/>
          <w:lang w:eastAsia="zh-CN"/>
        </w:rPr>
        <w:t>（</w:t>
      </w:r>
      <w:r>
        <w:rPr>
          <w:lang w:eastAsia="zh-CN"/>
        </w:rPr>
        <w:t>公</w:t>
      </w:r>
      <w:r>
        <w:rPr>
          <w:spacing w:val="-4"/>
          <w:lang w:eastAsia="zh-CN"/>
        </w:rPr>
        <w:t>安部令第87</w:t>
      </w:r>
      <w:r>
        <w:rPr>
          <w:spacing w:val="-46"/>
          <w:lang w:eastAsia="zh-CN"/>
        </w:rPr>
        <w:t xml:space="preserve"> 号</w:t>
      </w:r>
      <w:r>
        <w:rPr>
          <w:spacing w:val="-128"/>
          <w:lang w:eastAsia="zh-CN"/>
        </w:rPr>
        <w:t>）</w:t>
      </w:r>
      <w:r>
        <w:rPr>
          <w:spacing w:val="-33"/>
          <w:lang w:eastAsia="zh-CN"/>
        </w:rPr>
        <w:t>、《麻醉药品和精神药品管理条例</w:t>
      </w:r>
      <w:r>
        <w:rPr>
          <w:spacing w:val="-195"/>
          <w:lang w:eastAsia="zh-CN"/>
        </w:rPr>
        <w:t>》</w:t>
      </w:r>
      <w:r>
        <w:rPr>
          <w:spacing w:val="-17"/>
          <w:lang w:eastAsia="zh-CN"/>
        </w:rPr>
        <w:t>（</w:t>
      </w:r>
      <w:r>
        <w:rPr>
          <w:spacing w:val="-4"/>
          <w:lang w:eastAsia="zh-CN"/>
        </w:rPr>
        <w:t>国务院令</w:t>
      </w:r>
      <w:r>
        <w:rPr>
          <w:spacing w:val="-6"/>
          <w:lang w:eastAsia="zh-CN"/>
        </w:rPr>
        <w:t>442</w:t>
      </w:r>
      <w:r>
        <w:rPr>
          <w:spacing w:val="-45"/>
          <w:lang w:eastAsia="zh-CN"/>
        </w:rPr>
        <w:t xml:space="preserve"> 号</w:t>
      </w:r>
      <w:r>
        <w:rPr>
          <w:spacing w:val="-84"/>
          <w:lang w:eastAsia="zh-CN"/>
        </w:rPr>
        <w:t>）</w:t>
      </w:r>
      <w:r>
        <w:rPr>
          <w:spacing w:val="-25"/>
          <w:lang w:eastAsia="zh-CN"/>
        </w:rPr>
        <w:t>等有关规定，按照“谁</w:t>
      </w:r>
      <w:r>
        <w:rPr>
          <w:spacing w:val="-20"/>
          <w:lang w:eastAsia="zh-CN"/>
        </w:rPr>
        <w:t>使用、谁负责”的原则。管理部门、使用部门及使用人之间逐级签订安全责任书。</w:t>
      </w:r>
    </w:p>
    <w:p w:rsidR="00CE62E6" w:rsidRDefault="00765526">
      <w:pPr>
        <w:pStyle w:val="a3"/>
        <w:spacing w:before="3"/>
        <w:ind w:left="546"/>
        <w:rPr>
          <w:rFonts w:ascii="黑体" w:eastAsia="黑体"/>
          <w:lang w:eastAsia="zh-CN"/>
        </w:rPr>
      </w:pPr>
      <w:r>
        <w:rPr>
          <w:rFonts w:ascii="黑体" w:eastAsia="黑体" w:hint="eastAsia"/>
          <w:lang w:eastAsia="zh-CN"/>
        </w:rPr>
        <w:t>一、责任内容</w:t>
      </w:r>
    </w:p>
    <w:p w:rsidR="00CE62E6" w:rsidRDefault="00765526">
      <w:pPr>
        <w:pStyle w:val="a3"/>
        <w:spacing w:before="5" w:line="244" w:lineRule="auto"/>
        <w:ind w:left="100" w:right="165" w:firstLine="446"/>
        <w:jc w:val="both"/>
        <w:rPr>
          <w:lang w:eastAsia="zh-CN"/>
        </w:rPr>
      </w:pPr>
      <w:r>
        <w:rPr>
          <w:spacing w:val="-23"/>
          <w:lang w:eastAsia="zh-CN"/>
        </w:rPr>
        <w:t>剧毒化学品、易制毒化学品、麻醉药品和精神药品的负责人及使用人在实验过程或日常管理中要承担以下责任：</w:t>
      </w:r>
    </w:p>
    <w:p w:rsidR="00CE62E6" w:rsidRDefault="00765526">
      <w:pPr>
        <w:pStyle w:val="a3"/>
        <w:spacing w:before="2" w:line="244" w:lineRule="auto"/>
        <w:ind w:left="100" w:right="143" w:firstLine="446"/>
        <w:jc w:val="both"/>
        <w:rPr>
          <w:lang w:eastAsia="zh-CN"/>
        </w:rPr>
      </w:pPr>
      <w:r>
        <w:rPr>
          <w:spacing w:val="-12"/>
          <w:lang w:eastAsia="zh-CN"/>
        </w:rPr>
        <w:t>1</w:t>
      </w:r>
      <w:r>
        <w:rPr>
          <w:spacing w:val="-17"/>
          <w:lang w:eastAsia="zh-CN"/>
        </w:rPr>
        <w:t>．实验过程中要严格按要求开展实验，并在实验结束后，及时记录剧毒化学品、易制</w:t>
      </w:r>
      <w:r>
        <w:rPr>
          <w:spacing w:val="-21"/>
          <w:lang w:eastAsia="zh-CN"/>
        </w:rPr>
        <w:t>毒化学品、麻醉药品和精神药品的使用台账</w:t>
      </w:r>
      <w:r>
        <w:rPr>
          <w:spacing w:val="-17"/>
          <w:lang w:eastAsia="zh-CN"/>
        </w:rPr>
        <w:t>（</w:t>
      </w:r>
      <w:r>
        <w:rPr>
          <w:spacing w:val="-19"/>
          <w:lang w:eastAsia="zh-CN"/>
        </w:rPr>
        <w:t>与实验室管理员双人签名</w:t>
      </w:r>
      <w:r>
        <w:rPr>
          <w:spacing w:val="-26"/>
          <w:lang w:eastAsia="zh-CN"/>
        </w:rPr>
        <w:t>）</w:t>
      </w:r>
      <w:r>
        <w:rPr>
          <w:spacing w:val="-21"/>
          <w:lang w:eastAsia="zh-CN"/>
        </w:rPr>
        <w:t>和实验记录</w:t>
      </w:r>
      <w:r>
        <w:rPr>
          <w:spacing w:val="-17"/>
          <w:lang w:eastAsia="zh-CN"/>
        </w:rPr>
        <w:t>（与实验室管理员双人签名</w:t>
      </w:r>
      <w:r>
        <w:rPr>
          <w:spacing w:val="-128"/>
          <w:lang w:eastAsia="zh-CN"/>
        </w:rPr>
        <w:t>）</w:t>
      </w:r>
      <w:r>
        <w:rPr>
          <w:spacing w:val="-17"/>
          <w:lang w:eastAsia="zh-CN"/>
        </w:rPr>
        <w:t>，确保剧毒化学品、易制毒化学品、麻醉药品和精神药品“领用量”与“使用量”平衡。</w:t>
      </w:r>
    </w:p>
    <w:p w:rsidR="00CE62E6" w:rsidRDefault="00765526">
      <w:pPr>
        <w:pStyle w:val="a3"/>
        <w:ind w:left="546"/>
        <w:rPr>
          <w:lang w:eastAsia="zh-CN"/>
        </w:rPr>
      </w:pPr>
      <w:r>
        <w:rPr>
          <w:spacing w:val="-14"/>
          <w:lang w:eastAsia="zh-CN"/>
        </w:rPr>
        <w:t>2</w:t>
      </w:r>
      <w:r>
        <w:rPr>
          <w:spacing w:val="-19"/>
          <w:lang w:eastAsia="zh-CN"/>
        </w:rPr>
        <w:t>．要加强管理，防止剧毒化学品、易制毒化学品、麻醉药品和精神药品流失和被盗。</w:t>
      </w:r>
    </w:p>
    <w:p w:rsidR="00CE62E6" w:rsidRDefault="00765526">
      <w:pPr>
        <w:pStyle w:val="a3"/>
        <w:spacing w:before="5" w:line="244" w:lineRule="auto"/>
        <w:ind w:left="100" w:right="146" w:firstLine="446"/>
        <w:jc w:val="both"/>
        <w:rPr>
          <w:lang w:eastAsia="zh-CN"/>
        </w:rPr>
      </w:pPr>
      <w:r>
        <w:rPr>
          <w:spacing w:val="-12"/>
          <w:lang w:eastAsia="zh-CN"/>
        </w:rPr>
        <w:t>3</w:t>
      </w:r>
      <w:r>
        <w:rPr>
          <w:spacing w:val="-17"/>
          <w:lang w:eastAsia="zh-CN"/>
        </w:rPr>
        <w:t>．要及时报告剧毒化学品、易制毒化学品、麻醉药品和精神药品使用或管理中出现的</w:t>
      </w:r>
      <w:r>
        <w:rPr>
          <w:spacing w:val="-18"/>
          <w:lang w:eastAsia="zh-CN"/>
        </w:rPr>
        <w:t>意外情况，积极配合公安机关打击违法犯罪活动。</w:t>
      </w:r>
    </w:p>
    <w:p w:rsidR="00CE62E6" w:rsidRDefault="00765526">
      <w:pPr>
        <w:pStyle w:val="a3"/>
        <w:spacing w:line="244" w:lineRule="auto"/>
        <w:ind w:left="100" w:right="144" w:firstLine="446"/>
        <w:jc w:val="both"/>
        <w:rPr>
          <w:lang w:eastAsia="zh-CN"/>
        </w:rPr>
      </w:pPr>
      <w:r>
        <w:rPr>
          <w:spacing w:val="-9"/>
          <w:lang w:eastAsia="zh-CN"/>
        </w:rPr>
        <w:t>4</w:t>
      </w:r>
      <w:r>
        <w:rPr>
          <w:spacing w:val="-22"/>
          <w:lang w:eastAsia="zh-CN"/>
        </w:rPr>
        <w:t>.不得私自购买、转让、赠送、外借、销售、存储、运输、使用剧毒化学品、易制毒化</w:t>
      </w:r>
      <w:r>
        <w:rPr>
          <w:spacing w:val="-18"/>
          <w:lang w:eastAsia="zh-CN"/>
        </w:rPr>
        <w:t>学品、麻醉药品和精神药品。</w:t>
      </w:r>
    </w:p>
    <w:p w:rsidR="00CE62E6" w:rsidRDefault="00765526">
      <w:pPr>
        <w:pStyle w:val="a3"/>
        <w:spacing w:before="3" w:line="244" w:lineRule="auto"/>
        <w:ind w:left="100" w:right="145" w:firstLine="446"/>
        <w:jc w:val="both"/>
        <w:rPr>
          <w:lang w:eastAsia="zh-CN"/>
        </w:rPr>
      </w:pPr>
      <w:r>
        <w:rPr>
          <w:spacing w:val="-10"/>
          <w:lang w:eastAsia="zh-CN"/>
        </w:rPr>
        <w:t>5.</w:t>
      </w:r>
      <w:r>
        <w:rPr>
          <w:spacing w:val="-34"/>
          <w:lang w:eastAsia="zh-CN"/>
        </w:rPr>
        <w:t>不得私自买卖、销毁或丢弃剧毒化学品、易制毒化学品、麻醉药品和精神药品废料</w:t>
      </w:r>
      <w:r>
        <w:rPr>
          <w:spacing w:val="-17"/>
          <w:lang w:eastAsia="zh-CN"/>
        </w:rPr>
        <w:t>（</w:t>
      </w:r>
      <w:r>
        <w:rPr>
          <w:lang w:eastAsia="zh-CN"/>
        </w:rPr>
        <w:t>含</w:t>
      </w:r>
      <w:r>
        <w:rPr>
          <w:spacing w:val="-18"/>
          <w:lang w:eastAsia="zh-CN"/>
        </w:rPr>
        <w:t>非实验因素导致变质的废料</w:t>
      </w:r>
      <w:r>
        <w:rPr>
          <w:spacing w:val="-128"/>
          <w:lang w:eastAsia="zh-CN"/>
        </w:rPr>
        <w:t>）</w:t>
      </w:r>
      <w:r>
        <w:rPr>
          <w:lang w:eastAsia="zh-CN"/>
        </w:rPr>
        <w:t>。</w:t>
      </w:r>
    </w:p>
    <w:p w:rsidR="00CE62E6" w:rsidRDefault="00765526">
      <w:pPr>
        <w:pStyle w:val="a3"/>
        <w:ind w:left="546"/>
        <w:rPr>
          <w:lang w:eastAsia="zh-CN"/>
        </w:rPr>
      </w:pPr>
      <w:r>
        <w:rPr>
          <w:spacing w:val="-9"/>
          <w:lang w:eastAsia="zh-CN"/>
        </w:rPr>
        <w:t>6</w:t>
      </w:r>
      <w:r>
        <w:rPr>
          <w:spacing w:val="-20"/>
          <w:lang w:eastAsia="zh-CN"/>
        </w:rPr>
        <w:t>.禁止使用现金或实物进行剧毒化学品、易制毒化学品、麻醉药品和精神药品交易。</w:t>
      </w:r>
    </w:p>
    <w:p w:rsidR="00CE62E6" w:rsidRDefault="00765526">
      <w:pPr>
        <w:pStyle w:val="a3"/>
        <w:spacing w:before="7" w:line="244" w:lineRule="auto"/>
        <w:ind w:left="100" w:right="161" w:firstLine="446"/>
        <w:jc w:val="both"/>
        <w:rPr>
          <w:lang w:eastAsia="zh-CN"/>
        </w:rPr>
      </w:pPr>
      <w:r>
        <w:rPr>
          <w:spacing w:val="-9"/>
          <w:lang w:eastAsia="zh-CN"/>
        </w:rPr>
        <w:t>7</w:t>
      </w:r>
      <w:r>
        <w:rPr>
          <w:spacing w:val="-23"/>
          <w:lang w:eastAsia="zh-CN"/>
        </w:rPr>
        <w:t>.要严格遵守双人收发、双人双锁、双人记账、双人运输、双人使用的制度，要有专人负责，专柜枷锁，专册登记。</w:t>
      </w:r>
    </w:p>
    <w:p w:rsidR="00CE62E6" w:rsidRDefault="00765526">
      <w:pPr>
        <w:pStyle w:val="a3"/>
        <w:ind w:left="546"/>
        <w:rPr>
          <w:rFonts w:ascii="黑体" w:eastAsia="黑体"/>
          <w:lang w:eastAsia="zh-CN"/>
        </w:rPr>
      </w:pPr>
      <w:r>
        <w:rPr>
          <w:rFonts w:ascii="黑体" w:eastAsia="黑体" w:hint="eastAsia"/>
          <w:lang w:eastAsia="zh-CN"/>
        </w:rPr>
        <w:t>二、责任追究</w:t>
      </w:r>
    </w:p>
    <w:p w:rsidR="00CE62E6" w:rsidRDefault="00765526">
      <w:pPr>
        <w:pStyle w:val="a3"/>
        <w:spacing w:before="7" w:line="244" w:lineRule="auto"/>
        <w:ind w:left="100" w:right="106" w:firstLine="446"/>
        <w:jc w:val="both"/>
        <w:rPr>
          <w:lang w:eastAsia="zh-CN"/>
        </w:rPr>
      </w:pPr>
      <w:r>
        <w:rPr>
          <w:spacing w:val="-22"/>
          <w:lang w:eastAsia="zh-CN"/>
        </w:rPr>
        <w:t>各系</w:t>
      </w:r>
      <w:r>
        <w:rPr>
          <w:spacing w:val="-17"/>
          <w:lang w:eastAsia="zh-CN"/>
        </w:rPr>
        <w:t>（部门</w:t>
      </w:r>
      <w:r>
        <w:rPr>
          <w:spacing w:val="-27"/>
          <w:lang w:eastAsia="zh-CN"/>
        </w:rPr>
        <w:t>）</w:t>
      </w:r>
      <w:r>
        <w:rPr>
          <w:spacing w:val="-22"/>
          <w:lang w:eastAsia="zh-CN"/>
        </w:rPr>
        <w:t>负责人或使用人因失职或违规造成致使发生事故，将依照《易制毒化学品</w:t>
      </w:r>
      <w:r>
        <w:rPr>
          <w:spacing w:val="-42"/>
          <w:lang w:eastAsia="zh-CN"/>
        </w:rPr>
        <w:t>管理条例》、《剧毒化学品购买和公路运输许可证件管理办法》、《危险化学品安全管理条例》</w:t>
      </w:r>
      <w:r>
        <w:rPr>
          <w:spacing w:val="-25"/>
          <w:lang w:eastAsia="zh-CN"/>
        </w:rPr>
        <w:t>及《麻醉、精神药品管理条例》等有关规定，予以追究责任，构成犯罪者，移交司法机关处理。</w:t>
      </w:r>
    </w:p>
    <w:p w:rsidR="00CE62E6" w:rsidRDefault="00765526">
      <w:pPr>
        <w:pStyle w:val="a3"/>
        <w:ind w:left="546"/>
        <w:rPr>
          <w:rFonts w:ascii="黑体" w:eastAsia="黑体"/>
          <w:lang w:eastAsia="zh-CN"/>
        </w:rPr>
      </w:pPr>
      <w:r>
        <w:rPr>
          <w:rFonts w:ascii="黑体" w:eastAsia="黑体" w:hint="eastAsia"/>
          <w:lang w:eastAsia="zh-CN"/>
        </w:rPr>
        <w:t>三、其他事项</w:t>
      </w:r>
    </w:p>
    <w:p w:rsidR="00CE62E6" w:rsidRDefault="00765526">
      <w:pPr>
        <w:pStyle w:val="a3"/>
        <w:spacing w:before="5"/>
        <w:ind w:left="546"/>
        <w:rPr>
          <w:lang w:eastAsia="zh-CN"/>
        </w:rPr>
      </w:pPr>
      <w:r>
        <w:rPr>
          <w:lang w:eastAsia="zh-CN"/>
        </w:rPr>
        <w:t>本责任书一式二份，签订双方各执一份，自签订之日起有效。</w:t>
      </w:r>
    </w:p>
    <w:p w:rsidR="00CE62E6" w:rsidRDefault="00CE62E6">
      <w:pPr>
        <w:pStyle w:val="a3"/>
        <w:spacing w:before="6"/>
        <w:rPr>
          <w:sz w:val="30"/>
          <w:lang w:eastAsia="zh-CN"/>
        </w:rPr>
      </w:pPr>
    </w:p>
    <w:p w:rsidR="00CE62E6" w:rsidRDefault="00765526">
      <w:pPr>
        <w:pStyle w:val="a3"/>
        <w:tabs>
          <w:tab w:val="left" w:pos="5232"/>
        </w:tabs>
        <w:ind w:left="546"/>
        <w:rPr>
          <w:lang w:eastAsia="zh-CN"/>
        </w:rPr>
      </w:pPr>
      <w:r>
        <w:rPr>
          <w:spacing w:val="-17"/>
          <w:lang w:eastAsia="zh-CN"/>
        </w:rPr>
        <w:t>管理部门负责人（签名</w:t>
      </w:r>
      <w:r>
        <w:rPr>
          <w:spacing w:val="-129"/>
          <w:lang w:eastAsia="zh-CN"/>
        </w:rPr>
        <w:t>）</w:t>
      </w:r>
      <w:r>
        <w:rPr>
          <w:lang w:eastAsia="zh-CN"/>
        </w:rPr>
        <w:t>：</w:t>
      </w:r>
      <w:r>
        <w:rPr>
          <w:lang w:eastAsia="zh-CN"/>
        </w:rPr>
        <w:tab/>
      </w:r>
      <w:r>
        <w:rPr>
          <w:spacing w:val="-17"/>
          <w:lang w:eastAsia="zh-CN"/>
        </w:rPr>
        <w:t>使用部门负责人（签名</w:t>
      </w:r>
      <w:r>
        <w:rPr>
          <w:spacing w:val="-130"/>
          <w:lang w:eastAsia="zh-CN"/>
        </w:rPr>
        <w:t>）：</w:t>
      </w:r>
    </w:p>
    <w:p w:rsidR="00CE62E6" w:rsidRDefault="00CE62E6">
      <w:pPr>
        <w:pStyle w:val="a3"/>
        <w:spacing w:before="12"/>
        <w:rPr>
          <w:sz w:val="30"/>
          <w:lang w:eastAsia="zh-CN"/>
        </w:rPr>
      </w:pPr>
    </w:p>
    <w:p w:rsidR="00CE62E6" w:rsidRDefault="00765526">
      <w:pPr>
        <w:pStyle w:val="a3"/>
        <w:tabs>
          <w:tab w:val="left" w:pos="3110"/>
          <w:tab w:val="left" w:pos="3777"/>
          <w:tab w:val="left" w:pos="7346"/>
          <w:tab w:val="left" w:pos="8017"/>
          <w:tab w:val="left" w:pos="8684"/>
        </w:tabs>
        <w:spacing w:before="1"/>
        <w:ind w:left="2440"/>
        <w:rPr>
          <w:lang w:eastAsia="zh-CN"/>
        </w:rPr>
      </w:pPr>
      <w:r>
        <w:rPr>
          <w:lang w:eastAsia="zh-CN"/>
        </w:rPr>
        <w:t>年</w:t>
      </w:r>
      <w:r>
        <w:rPr>
          <w:lang w:eastAsia="zh-CN"/>
        </w:rPr>
        <w:tab/>
        <w:t>月</w:t>
      </w:r>
      <w:r>
        <w:rPr>
          <w:lang w:eastAsia="zh-CN"/>
        </w:rPr>
        <w:tab/>
        <w:t>日</w:t>
      </w:r>
      <w:r>
        <w:rPr>
          <w:lang w:eastAsia="zh-CN"/>
        </w:rPr>
        <w:tab/>
        <w:t>年</w:t>
      </w:r>
      <w:r>
        <w:rPr>
          <w:lang w:eastAsia="zh-CN"/>
        </w:rPr>
        <w:tab/>
        <w:t>月</w:t>
      </w:r>
      <w:r>
        <w:rPr>
          <w:lang w:eastAsia="zh-CN"/>
        </w:rPr>
        <w:tab/>
        <w:t>日</w:t>
      </w:r>
    </w:p>
    <w:p w:rsidR="00CE62E6" w:rsidRDefault="00CE62E6">
      <w:pPr>
        <w:rPr>
          <w:lang w:eastAsia="zh-CN"/>
        </w:rPr>
        <w:sectPr w:rsidR="00CE62E6">
          <w:footerReference w:type="default" r:id="rId7"/>
          <w:pgSz w:w="11910" w:h="16840"/>
          <w:pgMar w:top="1580" w:right="1420" w:bottom="1520" w:left="1340" w:header="0" w:footer="1337" w:gutter="0"/>
          <w:cols w:space="720"/>
        </w:sectPr>
      </w:pPr>
    </w:p>
    <w:p w:rsidR="009D1530" w:rsidRDefault="009D1530">
      <w:pPr>
        <w:pStyle w:val="a3"/>
        <w:spacing w:before="5"/>
        <w:rPr>
          <w:sz w:val="22"/>
          <w:lang w:eastAsia="zh-CN"/>
        </w:rPr>
      </w:pPr>
    </w:p>
    <w:p w:rsidR="009D1530" w:rsidRDefault="009D1530">
      <w:pPr>
        <w:pStyle w:val="a3"/>
        <w:spacing w:before="5"/>
        <w:rPr>
          <w:sz w:val="22"/>
          <w:lang w:eastAsia="zh-CN"/>
        </w:rPr>
      </w:pPr>
    </w:p>
    <w:p w:rsidR="00E56D5B" w:rsidRDefault="00E56D5B" w:rsidP="00E56D5B">
      <w:pPr>
        <w:pStyle w:val="a3"/>
        <w:spacing w:before="5"/>
        <w:jc w:val="center"/>
        <w:rPr>
          <w:rFonts w:hint="eastAsia"/>
          <w:b/>
          <w:sz w:val="32"/>
          <w:lang w:eastAsia="zh-CN"/>
        </w:rPr>
      </w:pPr>
      <w:r w:rsidRPr="00E56D5B">
        <w:rPr>
          <w:rFonts w:hint="eastAsia"/>
          <w:b/>
          <w:sz w:val="32"/>
          <w:lang w:eastAsia="zh-CN"/>
        </w:rPr>
        <w:t>毕节医学高等专科学校</w:t>
      </w:r>
    </w:p>
    <w:p w:rsidR="00E56D5B" w:rsidRPr="00E56D5B" w:rsidRDefault="00E56D5B" w:rsidP="00E56D5B">
      <w:pPr>
        <w:pStyle w:val="a3"/>
        <w:spacing w:before="5"/>
        <w:jc w:val="center"/>
        <w:rPr>
          <w:b/>
          <w:sz w:val="32"/>
          <w:lang w:eastAsia="zh-CN"/>
        </w:rPr>
      </w:pPr>
      <w:r w:rsidRPr="00E56D5B">
        <w:rPr>
          <w:rFonts w:hint="eastAsia"/>
          <w:b/>
          <w:sz w:val="32"/>
          <w:lang w:eastAsia="zh-CN"/>
        </w:rPr>
        <w:t>剧毒化学品、易制毒化学品、麻醉药品和精神药品安全责任书</w:t>
      </w:r>
      <w:r>
        <w:rPr>
          <w:rFonts w:hint="eastAsia"/>
          <w:b/>
          <w:sz w:val="32"/>
          <w:lang w:eastAsia="zh-CN"/>
        </w:rPr>
        <w:t>2</w:t>
      </w:r>
    </w:p>
    <w:p w:rsidR="00CE62E6" w:rsidRDefault="00CE62E6">
      <w:pPr>
        <w:pStyle w:val="a3"/>
        <w:spacing w:before="4"/>
        <w:rPr>
          <w:sz w:val="16"/>
          <w:lang w:eastAsia="zh-CN"/>
        </w:rPr>
      </w:pPr>
      <w:bookmarkStart w:id="0" w:name="_GoBack"/>
      <w:bookmarkEnd w:id="0"/>
    </w:p>
    <w:p w:rsidR="00CE62E6" w:rsidRDefault="00765526">
      <w:pPr>
        <w:pStyle w:val="a3"/>
        <w:spacing w:before="27" w:line="244" w:lineRule="auto"/>
        <w:ind w:left="100" w:right="143" w:firstLine="446"/>
        <w:jc w:val="both"/>
        <w:rPr>
          <w:lang w:eastAsia="zh-CN"/>
        </w:rPr>
      </w:pPr>
      <w:r>
        <w:rPr>
          <w:spacing w:val="-22"/>
          <w:lang w:eastAsia="zh-CN"/>
        </w:rPr>
        <w:t>为了加强学校剧毒化学品、易制毒化学品、麻醉药品和精神药品管理工作，预防剧毒化</w:t>
      </w:r>
      <w:r>
        <w:rPr>
          <w:spacing w:val="-34"/>
          <w:lang w:eastAsia="zh-CN"/>
        </w:rPr>
        <w:t>学品、易制毒化学品、麻醉药品和精神药品因管理不善造成的违法犯罪活动，根据国务院《易</w:t>
      </w:r>
      <w:r>
        <w:rPr>
          <w:spacing w:val="-44"/>
          <w:lang w:eastAsia="zh-CN"/>
        </w:rPr>
        <w:t>制毒化学品管理条例》</w:t>
      </w:r>
      <w:r>
        <w:rPr>
          <w:spacing w:val="-20"/>
          <w:lang w:eastAsia="zh-CN"/>
        </w:rPr>
        <w:t>（</w:t>
      </w:r>
      <w:proofErr w:type="gramStart"/>
      <w:r>
        <w:rPr>
          <w:spacing w:val="-25"/>
          <w:lang w:eastAsia="zh-CN"/>
        </w:rPr>
        <w:t>国务院令第</w:t>
      </w:r>
      <w:proofErr w:type="gramEnd"/>
      <w:r>
        <w:rPr>
          <w:spacing w:val="-25"/>
          <w:lang w:eastAsia="zh-CN"/>
        </w:rPr>
        <w:t xml:space="preserve"> </w:t>
      </w:r>
      <w:r>
        <w:rPr>
          <w:spacing w:val="-6"/>
          <w:lang w:eastAsia="zh-CN"/>
        </w:rPr>
        <w:t>445</w:t>
      </w:r>
      <w:r>
        <w:rPr>
          <w:spacing w:val="-44"/>
          <w:lang w:eastAsia="zh-CN"/>
        </w:rPr>
        <w:t xml:space="preserve"> 号</w:t>
      </w:r>
      <w:r>
        <w:rPr>
          <w:spacing w:val="-128"/>
          <w:lang w:eastAsia="zh-CN"/>
        </w:rPr>
        <w:t>）</w:t>
      </w:r>
      <w:r>
        <w:rPr>
          <w:spacing w:val="-37"/>
          <w:lang w:eastAsia="zh-CN"/>
        </w:rPr>
        <w:t>、《危险化学品安全管理条例》</w:t>
      </w:r>
      <w:r>
        <w:rPr>
          <w:spacing w:val="-17"/>
          <w:lang w:eastAsia="zh-CN"/>
        </w:rPr>
        <w:t>（</w:t>
      </w:r>
      <w:proofErr w:type="gramStart"/>
      <w:r>
        <w:rPr>
          <w:spacing w:val="-25"/>
          <w:lang w:eastAsia="zh-CN"/>
        </w:rPr>
        <w:t>国务院令第</w:t>
      </w:r>
      <w:proofErr w:type="gramEnd"/>
      <w:r>
        <w:rPr>
          <w:spacing w:val="-25"/>
          <w:lang w:eastAsia="zh-CN"/>
        </w:rPr>
        <w:t xml:space="preserve"> </w:t>
      </w:r>
      <w:r>
        <w:rPr>
          <w:spacing w:val="-6"/>
          <w:lang w:eastAsia="zh-CN"/>
        </w:rPr>
        <w:t xml:space="preserve">344 </w:t>
      </w:r>
      <w:r>
        <w:rPr>
          <w:spacing w:val="-17"/>
          <w:lang w:eastAsia="zh-CN"/>
        </w:rPr>
        <w:t>号</w:t>
      </w:r>
      <w:r>
        <w:rPr>
          <w:spacing w:val="-128"/>
          <w:lang w:eastAsia="zh-CN"/>
        </w:rPr>
        <w:t>）</w:t>
      </w:r>
      <w:r>
        <w:rPr>
          <w:spacing w:val="-37"/>
          <w:lang w:eastAsia="zh-CN"/>
        </w:rPr>
        <w:t>、《中华人民共和国药品管理法》</w:t>
      </w:r>
      <w:r>
        <w:rPr>
          <w:spacing w:val="-17"/>
          <w:lang w:eastAsia="zh-CN"/>
        </w:rPr>
        <w:t>（</w:t>
      </w:r>
      <w:r>
        <w:rPr>
          <w:spacing w:val="-5"/>
          <w:lang w:eastAsia="zh-CN"/>
        </w:rPr>
        <w:t>主席令第</w:t>
      </w:r>
      <w:r>
        <w:rPr>
          <w:spacing w:val="-4"/>
          <w:lang w:eastAsia="zh-CN"/>
        </w:rPr>
        <w:t>45</w:t>
      </w:r>
      <w:r>
        <w:rPr>
          <w:spacing w:val="-46"/>
          <w:lang w:eastAsia="zh-CN"/>
        </w:rPr>
        <w:t xml:space="preserve"> 号</w:t>
      </w:r>
      <w:r>
        <w:rPr>
          <w:spacing w:val="-27"/>
          <w:lang w:eastAsia="zh-CN"/>
        </w:rPr>
        <w:t>）</w:t>
      </w:r>
      <w:r>
        <w:rPr>
          <w:spacing w:val="-19"/>
          <w:lang w:eastAsia="zh-CN"/>
        </w:rPr>
        <w:t>以及公安部《剧毒化学品购买和公路</w:t>
      </w:r>
      <w:r>
        <w:rPr>
          <w:spacing w:val="-17"/>
          <w:lang w:eastAsia="zh-CN"/>
        </w:rPr>
        <w:t>运输许可证件管理办法</w:t>
      </w:r>
      <w:r>
        <w:rPr>
          <w:spacing w:val="-197"/>
          <w:lang w:eastAsia="zh-CN"/>
        </w:rPr>
        <w:t>》</w:t>
      </w:r>
      <w:r>
        <w:rPr>
          <w:spacing w:val="-17"/>
          <w:lang w:eastAsia="zh-CN"/>
        </w:rPr>
        <w:t>（</w:t>
      </w:r>
      <w:r>
        <w:rPr>
          <w:spacing w:val="-27"/>
          <w:lang w:eastAsia="zh-CN"/>
        </w:rPr>
        <w:t xml:space="preserve">公安部令 </w:t>
      </w:r>
      <w:r>
        <w:rPr>
          <w:spacing w:val="-5"/>
          <w:lang w:eastAsia="zh-CN"/>
        </w:rPr>
        <w:t>77</w:t>
      </w:r>
      <w:r>
        <w:rPr>
          <w:spacing w:val="-46"/>
          <w:lang w:eastAsia="zh-CN"/>
        </w:rPr>
        <w:t xml:space="preserve"> 号</w:t>
      </w:r>
      <w:r>
        <w:rPr>
          <w:spacing w:val="-128"/>
          <w:lang w:eastAsia="zh-CN"/>
        </w:rPr>
        <w:t>）</w:t>
      </w:r>
      <w:r>
        <w:rPr>
          <w:spacing w:val="-30"/>
          <w:lang w:eastAsia="zh-CN"/>
        </w:rPr>
        <w:t>、公安部《易制毒化学品购销和运输管理办法</w:t>
      </w:r>
      <w:r>
        <w:rPr>
          <w:spacing w:val="-195"/>
          <w:lang w:eastAsia="zh-CN"/>
        </w:rPr>
        <w:t>》</w:t>
      </w:r>
      <w:r>
        <w:rPr>
          <w:spacing w:val="-16"/>
          <w:lang w:eastAsia="zh-CN"/>
        </w:rPr>
        <w:t>（</w:t>
      </w:r>
      <w:r>
        <w:rPr>
          <w:lang w:eastAsia="zh-CN"/>
        </w:rPr>
        <w:t>公</w:t>
      </w:r>
      <w:r>
        <w:rPr>
          <w:spacing w:val="-4"/>
          <w:lang w:eastAsia="zh-CN"/>
        </w:rPr>
        <w:t>安部令第87</w:t>
      </w:r>
      <w:r>
        <w:rPr>
          <w:spacing w:val="-46"/>
          <w:lang w:eastAsia="zh-CN"/>
        </w:rPr>
        <w:t xml:space="preserve"> 号</w:t>
      </w:r>
      <w:r>
        <w:rPr>
          <w:spacing w:val="-128"/>
          <w:lang w:eastAsia="zh-CN"/>
        </w:rPr>
        <w:t>）</w:t>
      </w:r>
      <w:r>
        <w:rPr>
          <w:spacing w:val="-33"/>
          <w:lang w:eastAsia="zh-CN"/>
        </w:rPr>
        <w:t>、《麻醉药品和精神药品管理条例</w:t>
      </w:r>
      <w:r>
        <w:rPr>
          <w:spacing w:val="-195"/>
          <w:lang w:eastAsia="zh-CN"/>
        </w:rPr>
        <w:t>》</w:t>
      </w:r>
      <w:r>
        <w:rPr>
          <w:spacing w:val="-17"/>
          <w:lang w:eastAsia="zh-CN"/>
        </w:rPr>
        <w:t>（</w:t>
      </w:r>
      <w:r>
        <w:rPr>
          <w:spacing w:val="-4"/>
          <w:lang w:eastAsia="zh-CN"/>
        </w:rPr>
        <w:t>国务院令</w:t>
      </w:r>
      <w:r>
        <w:rPr>
          <w:spacing w:val="-6"/>
          <w:lang w:eastAsia="zh-CN"/>
        </w:rPr>
        <w:t>442</w:t>
      </w:r>
      <w:r>
        <w:rPr>
          <w:spacing w:val="-45"/>
          <w:lang w:eastAsia="zh-CN"/>
        </w:rPr>
        <w:t xml:space="preserve"> 号</w:t>
      </w:r>
      <w:r>
        <w:rPr>
          <w:spacing w:val="-84"/>
          <w:lang w:eastAsia="zh-CN"/>
        </w:rPr>
        <w:t>）</w:t>
      </w:r>
      <w:r>
        <w:rPr>
          <w:spacing w:val="-25"/>
          <w:lang w:eastAsia="zh-CN"/>
        </w:rPr>
        <w:t>等有关规定，按照“谁</w:t>
      </w:r>
      <w:r>
        <w:rPr>
          <w:spacing w:val="-20"/>
          <w:lang w:eastAsia="zh-CN"/>
        </w:rPr>
        <w:t>使用、谁负责”的原则。管理部门、使用部门及使用人之间逐级签订安全责任书。</w:t>
      </w:r>
    </w:p>
    <w:p w:rsidR="00CE62E6" w:rsidRDefault="00765526">
      <w:pPr>
        <w:pStyle w:val="a3"/>
        <w:ind w:left="546"/>
        <w:rPr>
          <w:rFonts w:ascii="黑体" w:eastAsia="黑体"/>
          <w:lang w:eastAsia="zh-CN"/>
        </w:rPr>
      </w:pPr>
      <w:r>
        <w:rPr>
          <w:rFonts w:ascii="黑体" w:eastAsia="黑体" w:hint="eastAsia"/>
          <w:lang w:eastAsia="zh-CN"/>
        </w:rPr>
        <w:t>一、责任内容</w:t>
      </w:r>
    </w:p>
    <w:p w:rsidR="00CE62E6" w:rsidRDefault="00765526">
      <w:pPr>
        <w:pStyle w:val="a3"/>
        <w:spacing w:before="5" w:line="244" w:lineRule="auto"/>
        <w:ind w:left="100" w:right="148" w:firstLine="446"/>
        <w:jc w:val="both"/>
        <w:rPr>
          <w:lang w:eastAsia="zh-CN"/>
        </w:rPr>
      </w:pPr>
      <w:r>
        <w:rPr>
          <w:spacing w:val="-23"/>
          <w:lang w:eastAsia="zh-CN"/>
        </w:rPr>
        <w:t>剧毒化学品、易制毒化学品、麻醉药品和精神药品的负责人及使用人在实验过程或日常</w:t>
      </w:r>
      <w:r>
        <w:rPr>
          <w:spacing w:val="-17"/>
          <w:lang w:eastAsia="zh-CN"/>
        </w:rPr>
        <w:t>管理中要承担以下责任：</w:t>
      </w:r>
    </w:p>
    <w:p w:rsidR="00CE62E6" w:rsidRDefault="00765526">
      <w:pPr>
        <w:pStyle w:val="a3"/>
        <w:spacing w:line="244" w:lineRule="auto"/>
        <w:ind w:left="100" w:right="143" w:firstLine="446"/>
        <w:jc w:val="both"/>
        <w:rPr>
          <w:lang w:eastAsia="zh-CN"/>
        </w:rPr>
      </w:pPr>
      <w:r>
        <w:rPr>
          <w:spacing w:val="-12"/>
          <w:lang w:eastAsia="zh-CN"/>
        </w:rPr>
        <w:t>1</w:t>
      </w:r>
      <w:r>
        <w:rPr>
          <w:spacing w:val="-17"/>
          <w:lang w:eastAsia="zh-CN"/>
        </w:rPr>
        <w:t>．实验过程中要严格按要求开展实验，并在实验结束后，及时记录剧毒化学品、易制</w:t>
      </w:r>
      <w:r>
        <w:rPr>
          <w:spacing w:val="-29"/>
          <w:lang w:eastAsia="zh-CN"/>
        </w:rPr>
        <w:t>毒化学品、麻醉药品和精神药品的使用</w:t>
      </w:r>
      <w:proofErr w:type="gramStart"/>
      <w:r>
        <w:rPr>
          <w:spacing w:val="-29"/>
          <w:lang w:eastAsia="zh-CN"/>
        </w:rPr>
        <w:t>消耗台</w:t>
      </w:r>
      <w:proofErr w:type="gramEnd"/>
      <w:r>
        <w:rPr>
          <w:spacing w:val="-29"/>
          <w:lang w:eastAsia="zh-CN"/>
        </w:rPr>
        <w:t>账</w:t>
      </w:r>
      <w:r>
        <w:rPr>
          <w:spacing w:val="-17"/>
          <w:lang w:eastAsia="zh-CN"/>
        </w:rPr>
        <w:t>（</w:t>
      </w:r>
      <w:r>
        <w:rPr>
          <w:spacing w:val="-18"/>
          <w:lang w:eastAsia="zh-CN"/>
        </w:rPr>
        <w:t>与实验室管理员双人签名</w:t>
      </w:r>
      <w:r>
        <w:rPr>
          <w:spacing w:val="-84"/>
          <w:lang w:eastAsia="zh-CN"/>
        </w:rPr>
        <w:t>）</w:t>
      </w:r>
      <w:r>
        <w:rPr>
          <w:spacing w:val="-31"/>
          <w:lang w:eastAsia="zh-CN"/>
        </w:rPr>
        <w:t>和实验记录</w:t>
      </w:r>
      <w:r>
        <w:rPr>
          <w:spacing w:val="-17"/>
          <w:lang w:eastAsia="zh-CN"/>
        </w:rPr>
        <w:t>（与实验室管理员双人签名</w:t>
      </w:r>
      <w:r>
        <w:rPr>
          <w:spacing w:val="-99"/>
          <w:lang w:eastAsia="zh-CN"/>
        </w:rPr>
        <w:t>）</w:t>
      </w:r>
      <w:r>
        <w:rPr>
          <w:spacing w:val="-32"/>
          <w:lang w:eastAsia="zh-CN"/>
        </w:rPr>
        <w:t xml:space="preserve">，确保剧毒化学品、易制毒化学品、麻醉药品和精神药品“领用量” </w:t>
      </w:r>
      <w:r>
        <w:rPr>
          <w:spacing w:val="-17"/>
          <w:lang w:eastAsia="zh-CN"/>
        </w:rPr>
        <w:t>与“使用量”平衡。</w:t>
      </w:r>
    </w:p>
    <w:p w:rsidR="00CE62E6" w:rsidRDefault="00765526">
      <w:pPr>
        <w:pStyle w:val="a3"/>
        <w:ind w:left="546"/>
        <w:rPr>
          <w:lang w:eastAsia="zh-CN"/>
        </w:rPr>
      </w:pPr>
      <w:r>
        <w:rPr>
          <w:spacing w:val="-14"/>
          <w:lang w:eastAsia="zh-CN"/>
        </w:rPr>
        <w:t>2</w:t>
      </w:r>
      <w:r>
        <w:rPr>
          <w:spacing w:val="-19"/>
          <w:lang w:eastAsia="zh-CN"/>
        </w:rPr>
        <w:t>．要加强管理，防止剧毒化学品、易制毒化学品、麻醉药品和精神药品流失和被盗。</w:t>
      </w:r>
    </w:p>
    <w:p w:rsidR="00CE62E6" w:rsidRDefault="00765526">
      <w:pPr>
        <w:pStyle w:val="a3"/>
        <w:spacing w:before="7" w:line="244" w:lineRule="auto"/>
        <w:ind w:left="100" w:right="146" w:firstLine="446"/>
        <w:jc w:val="both"/>
        <w:rPr>
          <w:lang w:eastAsia="zh-CN"/>
        </w:rPr>
      </w:pPr>
      <w:r>
        <w:rPr>
          <w:spacing w:val="-12"/>
          <w:lang w:eastAsia="zh-CN"/>
        </w:rPr>
        <w:t>3</w:t>
      </w:r>
      <w:r>
        <w:rPr>
          <w:spacing w:val="-17"/>
          <w:lang w:eastAsia="zh-CN"/>
        </w:rPr>
        <w:t>．要及时报告剧毒化学品、易制毒化学品、麻醉药品和精神药品使用或管理中出现的</w:t>
      </w:r>
      <w:r>
        <w:rPr>
          <w:spacing w:val="-18"/>
          <w:lang w:eastAsia="zh-CN"/>
        </w:rPr>
        <w:t>意外情况，积极配合公安机关打击违法犯罪活动。</w:t>
      </w:r>
    </w:p>
    <w:p w:rsidR="00CE62E6" w:rsidRDefault="00765526">
      <w:pPr>
        <w:pStyle w:val="a3"/>
        <w:spacing w:line="244" w:lineRule="auto"/>
        <w:ind w:left="100" w:right="144" w:firstLine="446"/>
        <w:jc w:val="both"/>
        <w:rPr>
          <w:lang w:eastAsia="zh-CN"/>
        </w:rPr>
      </w:pPr>
      <w:r>
        <w:rPr>
          <w:spacing w:val="-9"/>
          <w:lang w:eastAsia="zh-CN"/>
        </w:rPr>
        <w:t>4</w:t>
      </w:r>
      <w:r>
        <w:rPr>
          <w:spacing w:val="-22"/>
          <w:lang w:eastAsia="zh-CN"/>
        </w:rPr>
        <w:t>.不得私自购买、转让、赠送、外借、销售、存储、运输、使用剧毒化学品、易制毒化</w:t>
      </w:r>
      <w:r>
        <w:rPr>
          <w:spacing w:val="-18"/>
          <w:lang w:eastAsia="zh-CN"/>
        </w:rPr>
        <w:t>学品、麻醉药品和精神药品。</w:t>
      </w:r>
    </w:p>
    <w:p w:rsidR="00CE62E6" w:rsidRDefault="00765526">
      <w:pPr>
        <w:pStyle w:val="a3"/>
        <w:spacing w:line="244" w:lineRule="auto"/>
        <w:ind w:left="100" w:right="145" w:firstLine="446"/>
        <w:jc w:val="both"/>
        <w:rPr>
          <w:lang w:eastAsia="zh-CN"/>
        </w:rPr>
      </w:pPr>
      <w:r>
        <w:rPr>
          <w:spacing w:val="-10"/>
          <w:lang w:eastAsia="zh-CN"/>
        </w:rPr>
        <w:t>5.</w:t>
      </w:r>
      <w:r>
        <w:rPr>
          <w:spacing w:val="-34"/>
          <w:lang w:eastAsia="zh-CN"/>
        </w:rPr>
        <w:t>不得私自买卖、销毁或丢弃剧毒化学品、易制毒化学品、麻醉药品和精神药品废料</w:t>
      </w:r>
      <w:r>
        <w:rPr>
          <w:spacing w:val="-17"/>
          <w:lang w:eastAsia="zh-CN"/>
        </w:rPr>
        <w:t>（</w:t>
      </w:r>
      <w:r>
        <w:rPr>
          <w:lang w:eastAsia="zh-CN"/>
        </w:rPr>
        <w:t>含</w:t>
      </w:r>
      <w:r>
        <w:rPr>
          <w:spacing w:val="-18"/>
          <w:lang w:eastAsia="zh-CN"/>
        </w:rPr>
        <w:t>非实验因素导致变质的废料</w:t>
      </w:r>
      <w:r>
        <w:rPr>
          <w:spacing w:val="-128"/>
          <w:lang w:eastAsia="zh-CN"/>
        </w:rPr>
        <w:t>）</w:t>
      </w:r>
      <w:r>
        <w:rPr>
          <w:lang w:eastAsia="zh-CN"/>
        </w:rPr>
        <w:t>。</w:t>
      </w:r>
    </w:p>
    <w:p w:rsidR="00CE62E6" w:rsidRDefault="00765526">
      <w:pPr>
        <w:pStyle w:val="a3"/>
        <w:spacing w:before="2"/>
        <w:ind w:left="546"/>
        <w:rPr>
          <w:lang w:eastAsia="zh-CN"/>
        </w:rPr>
      </w:pPr>
      <w:r>
        <w:rPr>
          <w:spacing w:val="-9"/>
          <w:lang w:eastAsia="zh-CN"/>
        </w:rPr>
        <w:t>6</w:t>
      </w:r>
      <w:r>
        <w:rPr>
          <w:spacing w:val="-20"/>
          <w:lang w:eastAsia="zh-CN"/>
        </w:rPr>
        <w:t>.禁止使用现金或实物进行剧毒化学品、易制毒化学品、麻醉药品和精神药品交易。</w:t>
      </w:r>
    </w:p>
    <w:p w:rsidR="00CE62E6" w:rsidRDefault="00765526">
      <w:pPr>
        <w:pStyle w:val="a3"/>
        <w:spacing w:before="4" w:line="244" w:lineRule="auto"/>
        <w:ind w:left="100" w:right="161" w:firstLine="446"/>
        <w:jc w:val="both"/>
        <w:rPr>
          <w:lang w:eastAsia="zh-CN"/>
        </w:rPr>
      </w:pPr>
      <w:r>
        <w:rPr>
          <w:spacing w:val="-9"/>
          <w:lang w:eastAsia="zh-CN"/>
        </w:rPr>
        <w:t>7</w:t>
      </w:r>
      <w:r>
        <w:rPr>
          <w:spacing w:val="-23"/>
          <w:lang w:eastAsia="zh-CN"/>
        </w:rPr>
        <w:t>.要严格遵守双人收发、双人双锁、双人记账、双人运输、双人使用的制度，要有专人负责，专柜枷锁，专册登记。</w:t>
      </w:r>
    </w:p>
    <w:p w:rsidR="00CE62E6" w:rsidRDefault="00765526">
      <w:pPr>
        <w:pStyle w:val="a3"/>
        <w:spacing w:before="2"/>
        <w:ind w:left="546"/>
        <w:rPr>
          <w:rFonts w:ascii="黑体" w:eastAsia="黑体"/>
          <w:lang w:eastAsia="zh-CN"/>
        </w:rPr>
      </w:pPr>
      <w:r>
        <w:rPr>
          <w:rFonts w:ascii="黑体" w:eastAsia="黑体" w:hint="eastAsia"/>
          <w:lang w:eastAsia="zh-CN"/>
        </w:rPr>
        <w:t>二、责任追究</w:t>
      </w:r>
    </w:p>
    <w:p w:rsidR="00CE62E6" w:rsidRDefault="00765526">
      <w:pPr>
        <w:pStyle w:val="a3"/>
        <w:spacing w:before="5" w:line="244" w:lineRule="auto"/>
        <w:ind w:left="100" w:right="105" w:firstLine="446"/>
        <w:jc w:val="both"/>
        <w:rPr>
          <w:lang w:eastAsia="zh-CN"/>
        </w:rPr>
      </w:pPr>
      <w:r>
        <w:rPr>
          <w:spacing w:val="-22"/>
          <w:lang w:eastAsia="zh-CN"/>
        </w:rPr>
        <w:t>各系</w:t>
      </w:r>
      <w:r>
        <w:rPr>
          <w:spacing w:val="-17"/>
          <w:lang w:eastAsia="zh-CN"/>
        </w:rPr>
        <w:t>（部门</w:t>
      </w:r>
      <w:r>
        <w:rPr>
          <w:spacing w:val="-27"/>
          <w:lang w:eastAsia="zh-CN"/>
        </w:rPr>
        <w:t>）</w:t>
      </w:r>
      <w:r>
        <w:rPr>
          <w:spacing w:val="-22"/>
          <w:lang w:eastAsia="zh-CN"/>
        </w:rPr>
        <w:t>负责人或使用人因失职或违规造成致使发生事故，将依照《易制毒化学品</w:t>
      </w:r>
      <w:r>
        <w:rPr>
          <w:spacing w:val="-42"/>
          <w:lang w:eastAsia="zh-CN"/>
        </w:rPr>
        <w:t>管理条例》、《剧毒化学品购买和公路运输许可证件管理办法》、《危险化学品安全管理条例》</w:t>
      </w:r>
      <w:r>
        <w:rPr>
          <w:spacing w:val="-25"/>
          <w:lang w:eastAsia="zh-CN"/>
        </w:rPr>
        <w:t>及《麻醉、精神药品管理条例》等有关规定，予以追究责任，构成犯罪者，移交司法机关处</w:t>
      </w:r>
      <w:r>
        <w:rPr>
          <w:spacing w:val="-17"/>
          <w:lang w:eastAsia="zh-CN"/>
        </w:rPr>
        <w:t>理。</w:t>
      </w:r>
    </w:p>
    <w:p w:rsidR="00CE62E6" w:rsidRDefault="00765526">
      <w:pPr>
        <w:pStyle w:val="a3"/>
        <w:ind w:left="546"/>
        <w:rPr>
          <w:rFonts w:ascii="黑体" w:eastAsia="黑体"/>
          <w:lang w:eastAsia="zh-CN"/>
        </w:rPr>
      </w:pPr>
      <w:r>
        <w:rPr>
          <w:rFonts w:ascii="黑体" w:eastAsia="黑体" w:hint="eastAsia"/>
          <w:lang w:eastAsia="zh-CN"/>
        </w:rPr>
        <w:t>三、其他事项</w:t>
      </w:r>
    </w:p>
    <w:p w:rsidR="00CE62E6" w:rsidRDefault="00765526">
      <w:pPr>
        <w:pStyle w:val="a3"/>
        <w:tabs>
          <w:tab w:val="left" w:pos="5232"/>
        </w:tabs>
        <w:spacing w:before="7" w:line="542" w:lineRule="auto"/>
        <w:ind w:left="546" w:right="2347"/>
        <w:rPr>
          <w:lang w:eastAsia="zh-CN"/>
        </w:rPr>
      </w:pPr>
      <w:r>
        <w:rPr>
          <w:spacing w:val="-17"/>
          <w:lang w:eastAsia="zh-CN"/>
        </w:rPr>
        <w:t>本责任书一式二份，签</w:t>
      </w:r>
      <w:r>
        <w:rPr>
          <w:spacing w:val="-20"/>
          <w:lang w:eastAsia="zh-CN"/>
        </w:rPr>
        <w:t>订</w:t>
      </w:r>
      <w:r>
        <w:rPr>
          <w:spacing w:val="-17"/>
          <w:lang w:eastAsia="zh-CN"/>
        </w:rPr>
        <w:t>双方各执一份，自签订</w:t>
      </w:r>
      <w:r>
        <w:rPr>
          <w:spacing w:val="-20"/>
          <w:lang w:eastAsia="zh-CN"/>
        </w:rPr>
        <w:t>之</w:t>
      </w:r>
      <w:r>
        <w:rPr>
          <w:spacing w:val="-17"/>
          <w:lang w:eastAsia="zh-CN"/>
        </w:rPr>
        <w:t>日起有效。使用部门负责人（签名</w:t>
      </w:r>
      <w:r>
        <w:rPr>
          <w:spacing w:val="-129"/>
          <w:lang w:eastAsia="zh-CN"/>
        </w:rPr>
        <w:t>）</w:t>
      </w:r>
      <w:r>
        <w:rPr>
          <w:lang w:eastAsia="zh-CN"/>
        </w:rPr>
        <w:t>：</w:t>
      </w:r>
      <w:r>
        <w:rPr>
          <w:lang w:eastAsia="zh-CN"/>
        </w:rPr>
        <w:tab/>
      </w:r>
      <w:r>
        <w:rPr>
          <w:spacing w:val="-17"/>
          <w:lang w:eastAsia="zh-CN"/>
        </w:rPr>
        <w:t>使用人（签名</w:t>
      </w:r>
      <w:r>
        <w:rPr>
          <w:spacing w:val="-128"/>
          <w:lang w:eastAsia="zh-CN"/>
        </w:rPr>
        <w:t>）：</w:t>
      </w:r>
    </w:p>
    <w:p w:rsidR="00CE62E6" w:rsidRDefault="00765526">
      <w:pPr>
        <w:pStyle w:val="a3"/>
        <w:tabs>
          <w:tab w:val="left" w:pos="3110"/>
          <w:tab w:val="left" w:pos="3777"/>
          <w:tab w:val="left" w:pos="7346"/>
          <w:tab w:val="left" w:pos="8017"/>
          <w:tab w:val="left" w:pos="8684"/>
        </w:tabs>
        <w:spacing w:before="103"/>
        <w:ind w:left="2440"/>
      </w:pPr>
      <w:r>
        <w:t>年</w:t>
      </w:r>
      <w:r>
        <w:tab/>
        <w:t>月</w:t>
      </w:r>
      <w:r>
        <w:tab/>
        <w:t>日</w:t>
      </w:r>
      <w:r>
        <w:tab/>
        <w:t>年</w:t>
      </w:r>
      <w:r>
        <w:tab/>
        <w:t>月</w:t>
      </w:r>
      <w:r>
        <w:tab/>
        <w:t>日</w:t>
      </w:r>
    </w:p>
    <w:p w:rsidR="00765526" w:rsidRDefault="00765526"/>
    <w:sectPr w:rsidR="00765526" w:rsidSect="009D1530">
      <w:footerReference w:type="default" r:id="rId8"/>
      <w:pgSz w:w="11910" w:h="16840"/>
      <w:pgMar w:top="1080" w:right="1440" w:bottom="1080" w:left="1440" w:header="0" w:footer="13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40" w:rsidRDefault="00C13C40">
      <w:r>
        <w:separator/>
      </w:r>
    </w:p>
  </w:endnote>
  <w:endnote w:type="continuationSeparator" w:id="0">
    <w:p w:rsidR="00C13C40" w:rsidRDefault="00C1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E6" w:rsidRDefault="00C13C40">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7.3pt;margin-top:764.05pt;width:20.75pt;height:11pt;z-index:-43960;mso-position-horizontal-relative:page;mso-position-vertical-relative:page" filled="f" stroked="f">
          <v:textbox inset="0,0,0,0">
            <w:txbxContent>
              <w:p w:rsidR="00CE62E6" w:rsidRDefault="00765526">
                <w:pPr>
                  <w:spacing w:line="203" w:lineRule="exact"/>
                  <w:ind w:left="20"/>
                  <w:rPr>
                    <w:rFonts w:ascii="Calibri"/>
                    <w:sz w:val="18"/>
                  </w:rPr>
                </w:pPr>
                <w:r>
                  <w:rPr>
                    <w:rFonts w:ascii="Calibri"/>
                    <w:sz w:val="18"/>
                  </w:rPr>
                  <w:t>- 10 -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E6" w:rsidRDefault="00C13C4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0.55pt;margin-top:517.45pt;width:20.75pt;height:11pt;z-index:-43912;mso-position-horizontal-relative:page;mso-position-vertical-relative:page" filled="f" stroked="f">
          <v:textbox inset="0,0,0,0">
            <w:txbxContent>
              <w:p w:rsidR="00CE62E6" w:rsidRDefault="00765526">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sidR="00E56D5B">
                  <w:rPr>
                    <w:rFonts w:ascii="Calibri"/>
                    <w:noProof/>
                    <w:sz w:val="18"/>
                  </w:rPr>
                  <w:t>2</w:t>
                </w:r>
                <w:r>
                  <w:fldChar w:fldCharType="end"/>
                </w:r>
                <w:r>
                  <w:rPr>
                    <w:rFonts w:ascii="Calibri"/>
                    <w:sz w:val="1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40" w:rsidRDefault="00C13C40">
      <w:r>
        <w:separator/>
      </w:r>
    </w:p>
  </w:footnote>
  <w:footnote w:type="continuationSeparator" w:id="0">
    <w:p w:rsidR="00C13C40" w:rsidRDefault="00C13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E62E6"/>
    <w:rsid w:val="003721EA"/>
    <w:rsid w:val="00765526"/>
    <w:rsid w:val="009D1530"/>
    <w:rsid w:val="00C13C40"/>
    <w:rsid w:val="00C42D68"/>
    <w:rsid w:val="00CE62E6"/>
    <w:rsid w:val="00E5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 w:eastAsia="仿宋" w:hAnsi="仿宋" w:cs="仿宋"/>
    </w:rPr>
  </w:style>
  <w:style w:type="paragraph" w:styleId="1">
    <w:name w:val="heading 1"/>
    <w:basedOn w:val="a"/>
    <w:uiPriority w:val="1"/>
    <w:qFormat/>
    <w:pPr>
      <w:ind w:left="100" w:right="51" w:firstLine="607"/>
      <w:jc w:val="both"/>
      <w:outlineLvl w:val="0"/>
    </w:pPr>
    <w:rPr>
      <w:sz w:val="32"/>
      <w:szCs w:val="32"/>
    </w:rPr>
  </w:style>
  <w:style w:type="paragraph" w:styleId="2">
    <w:name w:val="heading 2"/>
    <w:basedOn w:val="a"/>
    <w:uiPriority w:val="1"/>
    <w:qFormat/>
    <w:pPr>
      <w:spacing w:before="1"/>
      <w:ind w:left="100"/>
      <w:outlineLvl w:val="1"/>
    </w:pPr>
    <w:rPr>
      <w:sz w:val="28"/>
      <w:szCs w:val="28"/>
    </w:rPr>
  </w:style>
  <w:style w:type="paragraph" w:styleId="3">
    <w:name w:val="heading 3"/>
    <w:basedOn w:val="a"/>
    <w:uiPriority w:val="1"/>
    <w:qFormat/>
    <w:pPr>
      <w:spacing w:before="67"/>
      <w:ind w:left="54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C42D68"/>
    <w:rPr>
      <w:sz w:val="18"/>
      <w:szCs w:val="18"/>
    </w:rPr>
  </w:style>
  <w:style w:type="character" w:customStyle="1" w:styleId="Char">
    <w:name w:val="批注框文本 Char"/>
    <w:basedOn w:val="a0"/>
    <w:link w:val="a5"/>
    <w:uiPriority w:val="99"/>
    <w:semiHidden/>
    <w:rsid w:val="00C42D68"/>
    <w:rPr>
      <w:rFonts w:ascii="仿宋" w:eastAsia="仿宋" w:hAnsi="仿宋" w:cs="仿宋"/>
      <w:sz w:val="18"/>
      <w:szCs w:val="18"/>
    </w:rPr>
  </w:style>
  <w:style w:type="paragraph" w:styleId="a6">
    <w:name w:val="header"/>
    <w:basedOn w:val="a"/>
    <w:link w:val="Char0"/>
    <w:uiPriority w:val="99"/>
    <w:unhideWhenUsed/>
    <w:rsid w:val="009D15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D1530"/>
    <w:rPr>
      <w:rFonts w:ascii="仿宋" w:eastAsia="仿宋" w:hAnsi="仿宋" w:cs="仿宋"/>
      <w:sz w:val="18"/>
      <w:szCs w:val="18"/>
    </w:rPr>
  </w:style>
  <w:style w:type="paragraph" w:styleId="a7">
    <w:name w:val="footer"/>
    <w:basedOn w:val="a"/>
    <w:link w:val="Char1"/>
    <w:uiPriority w:val="99"/>
    <w:unhideWhenUsed/>
    <w:rsid w:val="009D1530"/>
    <w:pPr>
      <w:tabs>
        <w:tab w:val="center" w:pos="4153"/>
        <w:tab w:val="right" w:pos="8306"/>
      </w:tabs>
      <w:snapToGrid w:val="0"/>
    </w:pPr>
    <w:rPr>
      <w:sz w:val="18"/>
      <w:szCs w:val="18"/>
    </w:rPr>
  </w:style>
  <w:style w:type="character" w:customStyle="1" w:styleId="Char1">
    <w:name w:val="页脚 Char"/>
    <w:basedOn w:val="a0"/>
    <w:link w:val="a7"/>
    <w:uiPriority w:val="99"/>
    <w:rsid w:val="009D1530"/>
    <w:rPr>
      <w:rFonts w:ascii="仿宋" w:eastAsia="仿宋" w:hAnsi="仿宋" w:cs="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Office Word</Application>
  <DocSecurity>0</DocSecurity>
  <Lines>14</Lines>
  <Paragraphs>4</Paragraphs>
  <ScaleCrop>false</ScaleCrop>
  <Company>微软中国</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毕节医学高等专科学校关于申请鉴定职业技能高级工的报告</dc:title>
  <dc:creator>cjzx</dc:creator>
  <cp:lastModifiedBy>Administrator</cp:lastModifiedBy>
  <cp:revision>5</cp:revision>
  <dcterms:created xsi:type="dcterms:W3CDTF">2020-07-27T13:15:00Z</dcterms:created>
  <dcterms:modified xsi:type="dcterms:W3CDTF">2020-11-07T03:34:00Z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2010</vt:lpwstr>
  </property>
  <property fmtid="{D5CDD505-2E9C-101B-9397-08002B2CF9AE}" pid="4" name="LastSaved">
    <vt:filetime>2020-07-27T00:00:00Z</vt:filetime>
  </property>
</Properties>
</file>